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 xml:space="preserve">1.1. </w:t>
      </w:r>
      <w:proofErr w:type="gramStart"/>
      <w:r w:rsidRPr="00E52CE0">
        <w:rPr>
          <w:rFonts w:ascii="Times New Roman" w:hAnsi="Times New Roman" w:cs="Times New Roman"/>
        </w:rPr>
        <w:t>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82C14" w:rsidRPr="00B82C14">
        <w:rPr>
          <w:rFonts w:ascii="Times New Roman" w:hAnsi="Times New Roman" w:cs="Times New Roman"/>
          <w:i/>
          <w:u w:val="single"/>
        </w:rPr>
        <w:t xml:space="preserve">капитальный  ремонт насосного оборудования фирмы </w:t>
      </w:r>
      <w:proofErr w:type="spellStart"/>
      <w:r w:rsidR="00B82C14" w:rsidRPr="00B82C14">
        <w:rPr>
          <w:rFonts w:ascii="Times New Roman" w:hAnsi="Times New Roman" w:cs="Times New Roman"/>
          <w:i/>
          <w:u w:val="single"/>
        </w:rPr>
        <w:t>Sulzer</w:t>
      </w:r>
      <w:proofErr w:type="spellEnd"/>
      <w:r w:rsidR="00B82C14" w:rsidRPr="00B82C14">
        <w:rPr>
          <w:rFonts w:ascii="Times New Roman" w:hAnsi="Times New Roman" w:cs="Times New Roman"/>
          <w:i/>
          <w:u w:val="single"/>
        </w:rPr>
        <w:t>, Самара, ул. Максима Горького, 4,КНС-6А</w:t>
      </w:r>
      <w:r w:rsidR="00B82C14">
        <w:rPr>
          <w:rFonts w:ascii="Times New Roman" w:hAnsi="Times New Roman" w:cs="Times New Roman"/>
        </w:rPr>
        <w:t xml:space="preserve">, </w:t>
      </w:r>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 неотъемлемую часть.</w:t>
      </w:r>
      <w:proofErr w:type="gramEnd"/>
      <w:r w:rsidR="00F834E5" w:rsidRPr="00E52CE0">
        <w:rPr>
          <w:rFonts w:ascii="Times New Roman" w:hAnsi="Times New Roman" w:cs="Times New Roman"/>
          <w:bCs/>
          <w:iCs/>
        </w:rPr>
        <w:t xml:space="preserve">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346D8">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0" w:name="P140"/>
      <w:bookmarkEnd w:id="0"/>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1"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1"/>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bookmarkStart w:id="2" w:name="_GoBack"/>
            <w:bookmarkEnd w:id="2"/>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Банковские реквизиты: </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Расчетный счет N 40702810903370000034</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в банке Филиал ГПБ (АО) в г. Самара</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roofErr w:type="spellStart"/>
            <w:r w:rsidRPr="000413CB">
              <w:rPr>
                <w:rFonts w:ascii="Times New Roman" w:eastAsia="Times New Roman" w:hAnsi="Times New Roman" w:cs="Times New Roman"/>
                <w:bCs/>
                <w:lang w:eastAsia="ru-RU"/>
              </w:rPr>
              <w:t>кор</w:t>
            </w:r>
            <w:proofErr w:type="gramStart"/>
            <w:r w:rsidRPr="000413CB">
              <w:rPr>
                <w:rFonts w:ascii="Times New Roman" w:eastAsia="Times New Roman" w:hAnsi="Times New Roman" w:cs="Times New Roman"/>
                <w:bCs/>
                <w:lang w:eastAsia="ru-RU"/>
              </w:rPr>
              <w:t>.с</w:t>
            </w:r>
            <w:proofErr w:type="gramEnd"/>
            <w:r w:rsidRPr="000413CB">
              <w:rPr>
                <w:rFonts w:ascii="Times New Roman" w:eastAsia="Times New Roman" w:hAnsi="Times New Roman" w:cs="Times New Roman"/>
                <w:bCs/>
                <w:lang w:eastAsia="ru-RU"/>
              </w:rPr>
              <w:t>чет</w:t>
            </w:r>
            <w:proofErr w:type="spellEnd"/>
            <w:r w:rsidRPr="000413CB">
              <w:rPr>
                <w:rFonts w:ascii="Times New Roman" w:eastAsia="Times New Roman" w:hAnsi="Times New Roman" w:cs="Times New Roman"/>
                <w:bCs/>
                <w:lang w:eastAsia="ru-RU"/>
              </w:rPr>
              <w:t xml:space="preserve"> N 30101810000000000917</w:t>
            </w:r>
          </w:p>
          <w:p w:rsidR="000413CB" w:rsidRPr="000413CB" w:rsidRDefault="000413CB" w:rsidP="000413CB">
            <w:pPr>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БИК: 043601917</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21096"/>
    <w:rsid w:val="00453AF3"/>
    <w:rsid w:val="00472986"/>
    <w:rsid w:val="0048430A"/>
    <w:rsid w:val="004861C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366E8-B655-4181-B56C-6CEDA283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11</Pages>
  <Words>6058</Words>
  <Characters>34536</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14</cp:revision>
  <dcterms:created xsi:type="dcterms:W3CDTF">2022-02-10T12:48:00Z</dcterms:created>
  <dcterms:modified xsi:type="dcterms:W3CDTF">2022-04-20T06:14:00Z</dcterms:modified>
</cp:coreProperties>
</file>